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16301" w14:textId="77777777" w:rsidR="0007336A" w:rsidRDefault="0007336A" w:rsidP="0007336A">
      <w:pPr>
        <w:jc w:val="center"/>
        <w:rPr>
          <w:b/>
        </w:rPr>
      </w:pPr>
      <w:r>
        <w:rPr>
          <w:b/>
          <w:noProof/>
          <w:lang w:eastAsia="en-GB"/>
        </w:rPr>
        <w:drawing>
          <wp:inline distT="0" distB="0" distL="0" distR="0" wp14:anchorId="0BE106C7" wp14:editId="493105CF">
            <wp:extent cx="1203960" cy="1080603"/>
            <wp:effectExtent l="0" t="0" r="0" b="5715"/>
            <wp:docPr id="1" name="Picture 1" descr="O:\Basnett Street Nursery School\Logos, Badges, Signs &amp; Labels\Nursery Logos\Basnett Stre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asnett Street Nursery School\Logos, Badges, Signs &amp; Labels\Nursery Logos\Basnett Street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7377" cy="1092645"/>
                    </a:xfrm>
                    <a:prstGeom prst="rect">
                      <a:avLst/>
                    </a:prstGeom>
                    <a:noFill/>
                    <a:ln>
                      <a:noFill/>
                    </a:ln>
                  </pic:spPr>
                </pic:pic>
              </a:graphicData>
            </a:graphic>
          </wp:inline>
        </w:drawing>
      </w:r>
    </w:p>
    <w:p w14:paraId="318FF52E" w14:textId="14C22545" w:rsidR="003F1FD1" w:rsidRPr="00EA1F7F" w:rsidRDefault="0007336A" w:rsidP="0007336A">
      <w:pPr>
        <w:jc w:val="center"/>
        <w:rPr>
          <w:b/>
        </w:rPr>
      </w:pPr>
      <w:r w:rsidRPr="00EA1F7F">
        <w:rPr>
          <w:b/>
        </w:rPr>
        <w:t>Accessibility Plan 2</w:t>
      </w:r>
      <w:r w:rsidR="002C4570">
        <w:rPr>
          <w:b/>
        </w:rPr>
        <w:t>5-26</w:t>
      </w:r>
    </w:p>
    <w:p w14:paraId="7ABDBB0D" w14:textId="77777777" w:rsidR="0007336A" w:rsidRPr="0007336A" w:rsidRDefault="0007336A" w:rsidP="0007336A">
      <w:pPr>
        <w:jc w:val="both"/>
        <w:rPr>
          <w:b/>
        </w:rPr>
      </w:pPr>
      <w:r w:rsidRPr="0007336A">
        <w:rPr>
          <w:b/>
        </w:rPr>
        <w:t>Aims:</w:t>
      </w:r>
    </w:p>
    <w:p w14:paraId="5BBDDDA7" w14:textId="77DFB74F" w:rsidR="0007336A" w:rsidRDefault="0007336A" w:rsidP="0007336A">
      <w:pPr>
        <w:jc w:val="both"/>
      </w:pPr>
      <w:r>
        <w:t>To ensure</w:t>
      </w:r>
      <w:r w:rsidR="00B60496">
        <w:t xml:space="preserve"> inclusive</w:t>
      </w:r>
      <w:r w:rsidR="00BA02B7">
        <w:t xml:space="preserve"> access to the school’s curriculum</w:t>
      </w:r>
      <w:r>
        <w:t xml:space="preserve"> for children with </w:t>
      </w:r>
      <w:r w:rsidR="00B50694">
        <w:t>SEND</w:t>
      </w:r>
      <w:r w:rsidR="00B60496">
        <w:t>, with adaptive provision to ensure individual needs are met.</w:t>
      </w:r>
    </w:p>
    <w:p w14:paraId="6C49C573" w14:textId="77777777" w:rsidR="0007336A" w:rsidRDefault="0007336A" w:rsidP="0007336A">
      <w:pPr>
        <w:jc w:val="both"/>
        <w:rPr>
          <w:b/>
        </w:rPr>
      </w:pPr>
      <w:r w:rsidRPr="0007336A">
        <w:rPr>
          <w:b/>
        </w:rPr>
        <w:t>Current Good Practice</w:t>
      </w:r>
    </w:p>
    <w:p w14:paraId="6528C88F" w14:textId="77777777" w:rsidR="0007336A" w:rsidRPr="00B50694" w:rsidRDefault="005A175F" w:rsidP="0007336A">
      <w:pPr>
        <w:jc w:val="both"/>
        <w:rPr>
          <w:b/>
          <w:bCs/>
        </w:rPr>
      </w:pPr>
      <w:r w:rsidRPr="00B50694">
        <w:rPr>
          <w:b/>
          <w:bCs/>
        </w:rPr>
        <w:t>Physical Environment</w:t>
      </w:r>
      <w:bookmarkStart w:id="0" w:name="_GoBack"/>
      <w:bookmarkEnd w:id="0"/>
    </w:p>
    <w:p w14:paraId="68A2F27C" w14:textId="4977D663" w:rsidR="005A175F" w:rsidRDefault="005A175F" w:rsidP="0007336A">
      <w:pPr>
        <w:jc w:val="both"/>
      </w:pPr>
      <w:r>
        <w:t>A ramp to the entrance enables wheelchair and pram access.  There are no steps in the nursery school part of the building.  The outdoor environment has a ramp to the garden and pathways that can be accessed by children with mobility difficulties.  Nursery classrooms are spacious and carefully planned based on observations of children.  There are no parts of the environment to which children have limited or no access.</w:t>
      </w:r>
      <w:r w:rsidR="00961555">
        <w:t xml:space="preserve">  In the Nursery there are height adjustable tables available with low chairs, and all areas of provision are easily accessible and presented so that all children can access, whether this is on the floor, cable drum table or on low tables etc.  The interactive computer </w:t>
      </w:r>
      <w:r w:rsidR="00A618E3">
        <w:t>board</w:t>
      </w:r>
      <w:r w:rsidR="00961555">
        <w:t xml:space="preserve"> is fixed to the wall at</w:t>
      </w:r>
      <w:r w:rsidR="001A2A25">
        <w:t xml:space="preserve"> child height.  Continuous provision is organised, labelled and within easy reach of all children in all areas.</w:t>
      </w:r>
    </w:p>
    <w:p w14:paraId="4E3D6566" w14:textId="77777777" w:rsidR="005A175F" w:rsidRPr="00B50694" w:rsidRDefault="005A175F" w:rsidP="0007336A">
      <w:pPr>
        <w:jc w:val="both"/>
        <w:rPr>
          <w:b/>
          <w:bCs/>
        </w:rPr>
      </w:pPr>
      <w:r w:rsidRPr="00B50694">
        <w:rPr>
          <w:b/>
          <w:bCs/>
        </w:rPr>
        <w:t>Curriculum</w:t>
      </w:r>
    </w:p>
    <w:p w14:paraId="2467D88B" w14:textId="77777777" w:rsidR="0046105B" w:rsidRDefault="005A175F" w:rsidP="0007336A">
      <w:pPr>
        <w:jc w:val="both"/>
      </w:pPr>
      <w:r w:rsidRPr="005A175F">
        <w:t>Every child is valued as a unique individual</w:t>
      </w:r>
      <w:r>
        <w:t>.  Planning is based on individual need and interest.  This ensures that all needs are met and resources are used creatively to ensure they are fully accessible and support/stimulate learning according to individual need.</w:t>
      </w:r>
      <w:r w:rsidR="001275B6">
        <w:t xml:space="preserve">  </w:t>
      </w:r>
    </w:p>
    <w:p w14:paraId="3EEB01D8" w14:textId="37FD2441" w:rsidR="005A175F" w:rsidRPr="00542F34" w:rsidRDefault="001275B6" w:rsidP="0007336A">
      <w:pPr>
        <w:jc w:val="both"/>
      </w:pPr>
      <w:r>
        <w:t>D</w:t>
      </w:r>
      <w:r w:rsidR="005A175F">
        <w:t xml:space="preserve">ifferent forms of communication are made available to enable all disabled pupils to express their views and to hear the views of others.  </w:t>
      </w:r>
      <w:r w:rsidR="001A2A25">
        <w:t xml:space="preserve">We use Makaton to support children and display signs and pictures to support staff when communicating.  </w:t>
      </w:r>
      <w:r w:rsidR="00BF3BF0" w:rsidRPr="00542F34">
        <w:t xml:space="preserve">Baselines </w:t>
      </w:r>
      <w:r w:rsidR="0088432E" w:rsidRPr="00542F34">
        <w:t>and Wellcomm</w:t>
      </w:r>
      <w:r w:rsidR="00BF3BF0" w:rsidRPr="00542F34">
        <w:t xml:space="preserve"> assessment are used to </w:t>
      </w:r>
      <w:r w:rsidR="001A2A25" w:rsidRPr="00542F34">
        <w:t>support</w:t>
      </w:r>
      <w:r w:rsidR="00BF3BF0" w:rsidRPr="00542F34">
        <w:t xml:space="preserve"> identification</w:t>
      </w:r>
      <w:r w:rsidR="001A2A25" w:rsidRPr="00542F34">
        <w:t xml:space="preserve"> speech and language difficulties.  Referrals to speech and language are made for children requiring professional speech and language therapy support.  </w:t>
      </w:r>
      <w:r w:rsidR="0046105B" w:rsidRPr="00542F34">
        <w:t>Adjustments are made for visually</w:t>
      </w:r>
      <w:r w:rsidR="0088432E" w:rsidRPr="00542F34">
        <w:t xml:space="preserve"> and/or hearing</w:t>
      </w:r>
      <w:r w:rsidR="0046105B" w:rsidRPr="00542F34">
        <w:t xml:space="preserve"> impaired children</w:t>
      </w:r>
      <w:r w:rsidR="0088432E" w:rsidRPr="00542F34">
        <w:t xml:space="preserve"> on a need basis.</w:t>
      </w:r>
    </w:p>
    <w:p w14:paraId="5624CB72" w14:textId="46024044" w:rsidR="00B60496" w:rsidRPr="00542F34" w:rsidRDefault="00BF3BF0" w:rsidP="0007336A">
      <w:pPr>
        <w:jc w:val="both"/>
      </w:pPr>
      <w:r w:rsidRPr="00542F34">
        <w:t xml:space="preserve">We provide adaptive provision for our children with SEND </w:t>
      </w:r>
      <w:r w:rsidR="00B60496" w:rsidRPr="00542F34">
        <w:t xml:space="preserve">(The Retreat), to meet the needs of our most vulnerable children.  </w:t>
      </w:r>
    </w:p>
    <w:p w14:paraId="58B2A1E5" w14:textId="77777777" w:rsidR="00D71C5F" w:rsidRPr="00542F34" w:rsidRDefault="00D71C5F" w:rsidP="0007336A">
      <w:pPr>
        <w:jc w:val="both"/>
        <w:rPr>
          <w:b/>
        </w:rPr>
      </w:pPr>
      <w:r w:rsidRPr="00542F34">
        <w:rPr>
          <w:b/>
        </w:rPr>
        <w:t>Access Audit</w:t>
      </w:r>
    </w:p>
    <w:p w14:paraId="57F9B3A5" w14:textId="78B3B803" w:rsidR="00D71C5F" w:rsidRPr="00542F34" w:rsidRDefault="00D71C5F" w:rsidP="0007336A">
      <w:pPr>
        <w:jc w:val="both"/>
      </w:pPr>
      <w:r w:rsidRPr="00542F34">
        <w:t xml:space="preserve">Basnett Street is a one storey building floor.  Doorways are wide and the outdoor area is accessible to all.  The main entrance features a secure lobby and has been fitted with a low reception hatch, this being fully accessible to wheelchair users. </w:t>
      </w:r>
      <w:r w:rsidR="001E301C" w:rsidRPr="00542F34">
        <w:t>The reception hatch also has a loop system fitted to support hearing aid users.</w:t>
      </w:r>
      <w:r w:rsidRPr="00542F34">
        <w:t xml:space="preserve"> There are disabled toilet facilities available, situ</w:t>
      </w:r>
      <w:r w:rsidR="00CC7EEA" w:rsidRPr="00542F34">
        <w:t>ated in the Chatterbox Club</w:t>
      </w:r>
      <w:r w:rsidRPr="00542F34">
        <w:t xml:space="preserve">.  The </w:t>
      </w:r>
      <w:r w:rsidRPr="00542F34">
        <w:lastRenderedPageBreak/>
        <w:t>school has internal emergency signage and escape routes are clearly marked.  Arrangements can be made for car park access if required.</w:t>
      </w:r>
    </w:p>
    <w:p w14:paraId="216D9889" w14:textId="77777777" w:rsidR="009E3B51" w:rsidRPr="00542F34" w:rsidRDefault="009E3B51" w:rsidP="0007336A">
      <w:pPr>
        <w:jc w:val="both"/>
        <w:rPr>
          <w:b/>
        </w:rPr>
      </w:pPr>
      <w:r w:rsidRPr="00542F34">
        <w:rPr>
          <w:b/>
        </w:rPr>
        <w:t>Improvement Required</w:t>
      </w:r>
    </w:p>
    <w:tbl>
      <w:tblPr>
        <w:tblStyle w:val="TableGrid"/>
        <w:tblW w:w="9351" w:type="dxa"/>
        <w:tblLook w:val="04A0" w:firstRow="1" w:lastRow="0" w:firstColumn="1" w:lastColumn="0" w:noHBand="0" w:noVBand="1"/>
      </w:tblPr>
      <w:tblGrid>
        <w:gridCol w:w="1821"/>
        <w:gridCol w:w="2312"/>
        <w:gridCol w:w="1928"/>
        <w:gridCol w:w="1269"/>
        <w:gridCol w:w="2021"/>
      </w:tblGrid>
      <w:tr w:rsidR="0088432E" w:rsidRPr="00542F34" w14:paraId="58CD37F0" w14:textId="77777777" w:rsidTr="00454D15">
        <w:tc>
          <w:tcPr>
            <w:tcW w:w="1859" w:type="dxa"/>
            <w:shd w:val="clear" w:color="auto" w:fill="FFFF00"/>
          </w:tcPr>
          <w:p w14:paraId="04818036" w14:textId="77777777" w:rsidR="00993F46" w:rsidRPr="00542F34" w:rsidRDefault="00993F46" w:rsidP="00993F46">
            <w:pPr>
              <w:jc w:val="center"/>
              <w:rPr>
                <w:b/>
                <w:highlight w:val="yellow"/>
              </w:rPr>
            </w:pPr>
          </w:p>
          <w:p w14:paraId="7720532F" w14:textId="77777777" w:rsidR="00993F46" w:rsidRPr="00542F34" w:rsidRDefault="00993F46" w:rsidP="00993F46">
            <w:pPr>
              <w:jc w:val="center"/>
              <w:rPr>
                <w:b/>
                <w:highlight w:val="yellow"/>
              </w:rPr>
            </w:pPr>
            <w:r w:rsidRPr="00542F34">
              <w:rPr>
                <w:b/>
                <w:highlight w:val="yellow"/>
              </w:rPr>
              <w:t>Priority</w:t>
            </w:r>
          </w:p>
          <w:p w14:paraId="2E241B6D" w14:textId="77777777" w:rsidR="00993F46" w:rsidRPr="00542F34" w:rsidRDefault="00993F46" w:rsidP="00993F46">
            <w:pPr>
              <w:jc w:val="center"/>
              <w:rPr>
                <w:b/>
                <w:highlight w:val="yellow"/>
              </w:rPr>
            </w:pPr>
          </w:p>
        </w:tc>
        <w:tc>
          <w:tcPr>
            <w:tcW w:w="2348" w:type="dxa"/>
            <w:shd w:val="clear" w:color="auto" w:fill="FFFF00"/>
          </w:tcPr>
          <w:p w14:paraId="3A3CE70F" w14:textId="77777777" w:rsidR="00993F46" w:rsidRPr="00542F34" w:rsidRDefault="00993F46" w:rsidP="00993F46">
            <w:pPr>
              <w:jc w:val="center"/>
              <w:rPr>
                <w:b/>
                <w:highlight w:val="yellow"/>
              </w:rPr>
            </w:pPr>
          </w:p>
          <w:p w14:paraId="4D7908B5" w14:textId="5C94ADD2" w:rsidR="00993F46" w:rsidRPr="00542F34" w:rsidRDefault="0088432E" w:rsidP="00993F46">
            <w:pPr>
              <w:jc w:val="center"/>
              <w:rPr>
                <w:b/>
                <w:highlight w:val="yellow"/>
              </w:rPr>
            </w:pPr>
            <w:r w:rsidRPr="00542F34">
              <w:rPr>
                <w:b/>
                <w:highlight w:val="yellow"/>
              </w:rPr>
              <w:t>Action</w:t>
            </w:r>
          </w:p>
        </w:tc>
        <w:tc>
          <w:tcPr>
            <w:tcW w:w="1928" w:type="dxa"/>
            <w:shd w:val="clear" w:color="auto" w:fill="FFFF00"/>
          </w:tcPr>
          <w:p w14:paraId="374FF4ED" w14:textId="77777777" w:rsidR="00993F46" w:rsidRPr="00542F34" w:rsidRDefault="00993F46" w:rsidP="00993F46">
            <w:pPr>
              <w:jc w:val="center"/>
              <w:rPr>
                <w:b/>
                <w:highlight w:val="yellow"/>
              </w:rPr>
            </w:pPr>
          </w:p>
          <w:p w14:paraId="7D4241E3" w14:textId="77777777" w:rsidR="00993F46" w:rsidRPr="00542F34" w:rsidRDefault="00104B8B" w:rsidP="00993F46">
            <w:pPr>
              <w:jc w:val="center"/>
              <w:rPr>
                <w:b/>
                <w:highlight w:val="yellow"/>
              </w:rPr>
            </w:pPr>
            <w:r w:rsidRPr="00542F34">
              <w:rPr>
                <w:b/>
                <w:highlight w:val="yellow"/>
              </w:rPr>
              <w:t>Lead/</w:t>
            </w:r>
          </w:p>
          <w:p w14:paraId="1173F487" w14:textId="7B3059CC" w:rsidR="00104B8B" w:rsidRPr="00542F34" w:rsidRDefault="00104B8B" w:rsidP="00993F46">
            <w:pPr>
              <w:jc w:val="center"/>
              <w:rPr>
                <w:b/>
                <w:highlight w:val="yellow"/>
              </w:rPr>
            </w:pPr>
            <w:r w:rsidRPr="00542F34">
              <w:rPr>
                <w:b/>
                <w:highlight w:val="yellow"/>
              </w:rPr>
              <w:t>Timescale</w:t>
            </w:r>
          </w:p>
        </w:tc>
        <w:tc>
          <w:tcPr>
            <w:tcW w:w="1174" w:type="dxa"/>
            <w:shd w:val="clear" w:color="auto" w:fill="FFFF00"/>
          </w:tcPr>
          <w:p w14:paraId="28789D03" w14:textId="77777777" w:rsidR="00993F46" w:rsidRPr="00542F34" w:rsidRDefault="00993F46" w:rsidP="00993F46">
            <w:pPr>
              <w:jc w:val="center"/>
              <w:rPr>
                <w:b/>
                <w:highlight w:val="yellow"/>
              </w:rPr>
            </w:pPr>
          </w:p>
          <w:p w14:paraId="362C37E2" w14:textId="77777777" w:rsidR="00993F46" w:rsidRPr="00542F34" w:rsidRDefault="00993F46" w:rsidP="00993F46">
            <w:pPr>
              <w:jc w:val="center"/>
              <w:rPr>
                <w:b/>
                <w:highlight w:val="yellow"/>
              </w:rPr>
            </w:pPr>
            <w:r w:rsidRPr="00542F34">
              <w:rPr>
                <w:b/>
                <w:highlight w:val="yellow"/>
              </w:rPr>
              <w:t>Cost</w:t>
            </w:r>
          </w:p>
        </w:tc>
        <w:tc>
          <w:tcPr>
            <w:tcW w:w="2042" w:type="dxa"/>
            <w:shd w:val="clear" w:color="auto" w:fill="FFFF00"/>
          </w:tcPr>
          <w:p w14:paraId="5968B0FE" w14:textId="77777777" w:rsidR="00993F46" w:rsidRPr="00542F34" w:rsidRDefault="00993F46" w:rsidP="00993F46">
            <w:pPr>
              <w:jc w:val="center"/>
              <w:rPr>
                <w:b/>
                <w:highlight w:val="yellow"/>
              </w:rPr>
            </w:pPr>
          </w:p>
          <w:p w14:paraId="205ADC96" w14:textId="77777777" w:rsidR="00993F46" w:rsidRPr="00542F34" w:rsidRDefault="00993F46" w:rsidP="00993F46">
            <w:pPr>
              <w:jc w:val="center"/>
              <w:rPr>
                <w:b/>
                <w:highlight w:val="yellow"/>
              </w:rPr>
            </w:pPr>
            <w:r w:rsidRPr="00542F34">
              <w:rPr>
                <w:b/>
                <w:highlight w:val="yellow"/>
              </w:rPr>
              <w:t>Success Criteria</w:t>
            </w:r>
          </w:p>
        </w:tc>
      </w:tr>
      <w:tr w:rsidR="0088432E" w:rsidRPr="00542F34" w14:paraId="134ECDE5" w14:textId="77777777" w:rsidTr="00454D15">
        <w:tc>
          <w:tcPr>
            <w:tcW w:w="1859" w:type="dxa"/>
          </w:tcPr>
          <w:p w14:paraId="7D1DCE8C" w14:textId="626ED8B9" w:rsidR="00993F46" w:rsidRPr="00542F34" w:rsidRDefault="00454D15" w:rsidP="00B60496">
            <w:pPr>
              <w:rPr>
                <w:b/>
              </w:rPr>
            </w:pPr>
            <w:r w:rsidRPr="00542F34">
              <w:rPr>
                <w:rFonts w:ascii="Segoe UI" w:hAnsi="Segoe UI" w:cs="Segoe UI"/>
                <w:b/>
                <w:sz w:val="20"/>
              </w:rPr>
              <w:t>To further develop adaptive provision to ensure that all children have the fundamental key skills needed to learn and progress through the school’s curriculum, implementing a total communication approach.</w:t>
            </w:r>
          </w:p>
        </w:tc>
        <w:tc>
          <w:tcPr>
            <w:tcW w:w="2348" w:type="dxa"/>
          </w:tcPr>
          <w:p w14:paraId="70A7B5C9" w14:textId="3E5E041B" w:rsidR="00993F46" w:rsidRPr="00542F34" w:rsidRDefault="00454D15" w:rsidP="00454D15">
            <w:pPr>
              <w:ind w:left="75"/>
            </w:pPr>
            <w:r w:rsidRPr="00542F34">
              <w:t>See SIP 3</w:t>
            </w:r>
          </w:p>
        </w:tc>
        <w:tc>
          <w:tcPr>
            <w:tcW w:w="1928" w:type="dxa"/>
          </w:tcPr>
          <w:p w14:paraId="6CF5DB46" w14:textId="35714480" w:rsidR="00993F46" w:rsidRPr="00542F34" w:rsidRDefault="003F6A09" w:rsidP="00241641">
            <w:pPr>
              <w:jc w:val="center"/>
              <w:rPr>
                <w:b/>
              </w:rPr>
            </w:pPr>
            <w:r w:rsidRPr="00542F34">
              <w:rPr>
                <w:b/>
              </w:rPr>
              <w:t>Emma Barker</w:t>
            </w:r>
            <w:r w:rsidR="00BA02B7" w:rsidRPr="00542F34">
              <w:rPr>
                <w:b/>
              </w:rPr>
              <w:t>/</w:t>
            </w:r>
          </w:p>
          <w:p w14:paraId="7BD1D0E3" w14:textId="0FB4289B" w:rsidR="003F6A09" w:rsidRPr="00542F34" w:rsidRDefault="00454D15" w:rsidP="00241641">
            <w:pPr>
              <w:jc w:val="center"/>
              <w:rPr>
                <w:b/>
              </w:rPr>
            </w:pPr>
            <w:r w:rsidRPr="00542F34">
              <w:rPr>
                <w:b/>
              </w:rPr>
              <w:t>Claire Thompson/Debbie Gornall?</w:t>
            </w:r>
          </w:p>
          <w:p w14:paraId="2EEA04FE" w14:textId="27687BD3" w:rsidR="00104B8B" w:rsidRPr="00542F34" w:rsidRDefault="00104B8B" w:rsidP="00241641">
            <w:pPr>
              <w:jc w:val="center"/>
            </w:pPr>
          </w:p>
        </w:tc>
        <w:tc>
          <w:tcPr>
            <w:tcW w:w="1174" w:type="dxa"/>
          </w:tcPr>
          <w:p w14:paraId="67A21DD3" w14:textId="12464EF3" w:rsidR="00454D15" w:rsidRPr="00542F34" w:rsidRDefault="00454D15" w:rsidP="003F6A09">
            <w:pPr>
              <w:jc w:val="both"/>
            </w:pPr>
            <w:r w:rsidRPr="00542F34">
              <w:t>Training costs (developing attention, Curiosity approach, Intensive interaction, Behaviour policy) £1320</w:t>
            </w:r>
          </w:p>
          <w:p w14:paraId="2CB57FDB" w14:textId="77777777" w:rsidR="00454D15" w:rsidRPr="00542F34" w:rsidRDefault="00454D15" w:rsidP="003F6A09">
            <w:pPr>
              <w:jc w:val="both"/>
            </w:pPr>
          </w:p>
          <w:p w14:paraId="1DBEC118" w14:textId="34304E0C" w:rsidR="00993F46" w:rsidRPr="00542F34" w:rsidRDefault="00454D15" w:rsidP="003F6A09">
            <w:pPr>
              <w:jc w:val="both"/>
            </w:pPr>
            <w:r w:rsidRPr="00542F34">
              <w:t>Widget tool £295 per annum</w:t>
            </w:r>
          </w:p>
        </w:tc>
        <w:tc>
          <w:tcPr>
            <w:tcW w:w="2042" w:type="dxa"/>
          </w:tcPr>
          <w:p w14:paraId="1BB86072" w14:textId="77777777" w:rsidR="00454D15" w:rsidRPr="00542F34" w:rsidRDefault="00454D15" w:rsidP="00454D15">
            <w:pPr>
              <w:pStyle w:val="ListParagraph"/>
              <w:numPr>
                <w:ilvl w:val="0"/>
                <w:numId w:val="3"/>
              </w:numPr>
            </w:pPr>
            <w:r w:rsidRPr="00542F34">
              <w:rPr>
                <w:rFonts w:ascii="Segoe UI" w:hAnsi="Segoe UI" w:cs="Segoe UI"/>
                <w:sz w:val="20"/>
              </w:rPr>
              <w:t>Adaptive provision is specialist informed and advice clearly used and implemented across provision</w:t>
            </w:r>
          </w:p>
          <w:p w14:paraId="7E9AB83D" w14:textId="77777777" w:rsidR="00454D15" w:rsidRPr="00542F34" w:rsidRDefault="00454D15" w:rsidP="00454D15">
            <w:pPr>
              <w:pStyle w:val="ListParagraph"/>
              <w:numPr>
                <w:ilvl w:val="0"/>
                <w:numId w:val="3"/>
              </w:numPr>
            </w:pPr>
            <w:r w:rsidRPr="00542F34">
              <w:rPr>
                <w:rFonts w:ascii="Segoe UI" w:hAnsi="Segoe UI" w:cs="Segoe UI"/>
                <w:sz w:val="20"/>
              </w:rPr>
              <w:t>Lesson observations demonstrate that staff are delivering the key strategies, facilitating a total communication</w:t>
            </w:r>
          </w:p>
          <w:p w14:paraId="109AE8BC" w14:textId="77777777" w:rsidR="00454D15" w:rsidRPr="00542F34" w:rsidRDefault="00454D15" w:rsidP="00454D15">
            <w:pPr>
              <w:pStyle w:val="ListParagraph"/>
              <w:numPr>
                <w:ilvl w:val="0"/>
                <w:numId w:val="3"/>
              </w:numPr>
              <w:rPr>
                <w:rFonts w:ascii="Segoe UI" w:hAnsi="Segoe UI" w:cs="Segoe UI"/>
                <w:sz w:val="20"/>
              </w:rPr>
            </w:pPr>
            <w:r w:rsidRPr="00542F34">
              <w:rPr>
                <w:rFonts w:ascii="Segoe UI" w:hAnsi="Segoe UI" w:cs="Segoe UI"/>
                <w:sz w:val="20"/>
              </w:rPr>
              <w:t>Visuals are clearly displayed and are used effectively to meet the needs of all children.</w:t>
            </w:r>
          </w:p>
          <w:p w14:paraId="0CF44D86" w14:textId="21DF2F6B" w:rsidR="00454D15" w:rsidRPr="00542F34" w:rsidRDefault="00454D15" w:rsidP="00454D15">
            <w:pPr>
              <w:pStyle w:val="ListParagraph"/>
              <w:numPr>
                <w:ilvl w:val="0"/>
                <w:numId w:val="3"/>
              </w:numPr>
            </w:pPr>
            <w:r w:rsidRPr="00542F34">
              <w:rPr>
                <w:rFonts w:ascii="Segoe UI" w:hAnsi="Segoe UI" w:cs="Segoe UI"/>
                <w:sz w:val="20"/>
              </w:rPr>
              <w:t>High levels of behaviour and engagement.</w:t>
            </w:r>
          </w:p>
        </w:tc>
      </w:tr>
      <w:tr w:rsidR="0088432E" w:rsidRPr="00542F34" w14:paraId="59524388" w14:textId="77777777" w:rsidTr="00454D15">
        <w:tc>
          <w:tcPr>
            <w:tcW w:w="1859" w:type="dxa"/>
          </w:tcPr>
          <w:p w14:paraId="42DF0EB1" w14:textId="4BE028C6" w:rsidR="00993F46" w:rsidRPr="00542F34" w:rsidRDefault="00BA02B7" w:rsidP="003F6A09">
            <w:pPr>
              <w:rPr>
                <w:b/>
              </w:rPr>
            </w:pPr>
            <w:r w:rsidRPr="00542F34">
              <w:rPr>
                <w:b/>
              </w:rPr>
              <w:t>SENCO to complete and gain the NPQSENCO qualification</w:t>
            </w:r>
          </w:p>
        </w:tc>
        <w:tc>
          <w:tcPr>
            <w:tcW w:w="2348" w:type="dxa"/>
          </w:tcPr>
          <w:p w14:paraId="73261D15" w14:textId="1D8ADD7E" w:rsidR="00993F46" w:rsidRPr="00542F34" w:rsidRDefault="00BA02B7" w:rsidP="003F6A09">
            <w:r w:rsidRPr="00542F34">
              <w:t>Complete NPQSENCO</w:t>
            </w:r>
            <w:r w:rsidR="00BF3BF0" w:rsidRPr="00542F34">
              <w:t xml:space="preserve"> </w:t>
            </w:r>
          </w:p>
        </w:tc>
        <w:tc>
          <w:tcPr>
            <w:tcW w:w="1928" w:type="dxa"/>
          </w:tcPr>
          <w:p w14:paraId="0104167E" w14:textId="55143CAD" w:rsidR="00BA02B7" w:rsidRPr="00542F34" w:rsidRDefault="00BA02B7" w:rsidP="00BF3BF0">
            <w:pPr>
              <w:jc w:val="center"/>
            </w:pPr>
            <w:r w:rsidRPr="00542F34">
              <w:t>Emma Barker</w:t>
            </w:r>
            <w:r w:rsidR="00BF3BF0" w:rsidRPr="00542F34">
              <w:t xml:space="preserve"> – </w:t>
            </w:r>
            <w:r w:rsidR="002418F6" w:rsidRPr="00542F34">
              <w:t>April 26</w:t>
            </w:r>
          </w:p>
        </w:tc>
        <w:tc>
          <w:tcPr>
            <w:tcW w:w="1174" w:type="dxa"/>
          </w:tcPr>
          <w:p w14:paraId="5EDBFE89" w14:textId="648AA285" w:rsidR="00993F46" w:rsidRPr="00542F34" w:rsidRDefault="00993F46" w:rsidP="003F6A09">
            <w:pPr>
              <w:jc w:val="both"/>
            </w:pPr>
          </w:p>
        </w:tc>
        <w:tc>
          <w:tcPr>
            <w:tcW w:w="2042" w:type="dxa"/>
          </w:tcPr>
          <w:p w14:paraId="545EF10C" w14:textId="4310BE8E" w:rsidR="003439A8" w:rsidRPr="00542F34" w:rsidRDefault="00BA02B7" w:rsidP="003F6A09">
            <w:r w:rsidRPr="00542F34">
              <w:t>SENCO fully compliant with qualifications.  More confident in role.</w:t>
            </w:r>
          </w:p>
        </w:tc>
      </w:tr>
      <w:tr w:rsidR="00454D15" w:rsidRPr="00542F34" w14:paraId="58A8870C" w14:textId="77777777" w:rsidTr="00E20F2C">
        <w:trPr>
          <w:trHeight w:val="13045"/>
        </w:trPr>
        <w:tc>
          <w:tcPr>
            <w:tcW w:w="1859" w:type="dxa"/>
          </w:tcPr>
          <w:p w14:paraId="720EC0FB" w14:textId="6FC6C7B4" w:rsidR="00454D15" w:rsidRPr="00542F34" w:rsidRDefault="00454D15" w:rsidP="00454D15">
            <w:pPr>
              <w:rPr>
                <w:b/>
                <w:bCs/>
              </w:rPr>
            </w:pPr>
            <w:r w:rsidRPr="00542F34">
              <w:rPr>
                <w:rFonts w:ascii="Segoe UI" w:hAnsi="Segoe UI" w:cs="Segoe UI"/>
                <w:b/>
                <w:sz w:val="20"/>
                <w:szCs w:val="20"/>
              </w:rPr>
              <w:lastRenderedPageBreak/>
              <w:t>To ensure specialist teacher input is used effectively to support specialist provision is delivered to meet the SEND needs.</w:t>
            </w:r>
          </w:p>
        </w:tc>
        <w:tc>
          <w:tcPr>
            <w:tcW w:w="2348" w:type="dxa"/>
          </w:tcPr>
          <w:p w14:paraId="69305767" w14:textId="77777777" w:rsidR="00454D15" w:rsidRPr="00542F34" w:rsidRDefault="00454D15" w:rsidP="00454D15">
            <w:pPr>
              <w:pStyle w:val="ListParagraph"/>
              <w:numPr>
                <w:ilvl w:val="0"/>
                <w:numId w:val="5"/>
              </w:numPr>
              <w:rPr>
                <w:b/>
              </w:rPr>
            </w:pPr>
            <w:r w:rsidRPr="00542F34">
              <w:rPr>
                <w:rFonts w:ascii="Segoe UI" w:hAnsi="Segoe UI" w:cs="Segoe UI"/>
                <w:bCs/>
                <w:sz w:val="20"/>
                <w:szCs w:val="20"/>
              </w:rPr>
              <w:t>Review retreat environment and provision.</w:t>
            </w:r>
          </w:p>
          <w:p w14:paraId="7E960B5E" w14:textId="77777777" w:rsidR="00454D15" w:rsidRPr="00542F34" w:rsidRDefault="00454D15" w:rsidP="00454D15">
            <w:pPr>
              <w:pStyle w:val="ListParagraph"/>
              <w:numPr>
                <w:ilvl w:val="0"/>
                <w:numId w:val="5"/>
              </w:numPr>
              <w:rPr>
                <w:rFonts w:ascii="Segoe UI" w:hAnsi="Segoe UI" w:cs="Segoe UI"/>
                <w:bCs/>
                <w:sz w:val="20"/>
                <w:szCs w:val="20"/>
              </w:rPr>
            </w:pPr>
            <w:r w:rsidRPr="00542F34">
              <w:rPr>
                <w:rFonts w:ascii="Segoe UI" w:hAnsi="Segoe UI" w:cs="Segoe UI"/>
                <w:bCs/>
                <w:sz w:val="20"/>
                <w:szCs w:val="20"/>
              </w:rPr>
              <w:t>SENCO to implement developments to the retreat environment and provision.</w:t>
            </w:r>
          </w:p>
          <w:p w14:paraId="5D3F0624" w14:textId="77777777" w:rsidR="00454D15" w:rsidRPr="00542F34" w:rsidRDefault="00454D15" w:rsidP="00454D15">
            <w:pPr>
              <w:pStyle w:val="ListParagraph"/>
              <w:numPr>
                <w:ilvl w:val="0"/>
                <w:numId w:val="5"/>
              </w:numPr>
              <w:rPr>
                <w:rFonts w:ascii="Segoe UI" w:hAnsi="Segoe UI" w:cs="Segoe UI"/>
                <w:bCs/>
                <w:sz w:val="20"/>
                <w:szCs w:val="20"/>
              </w:rPr>
            </w:pPr>
            <w:r w:rsidRPr="00542F34">
              <w:rPr>
                <w:rFonts w:ascii="Segoe UI" w:hAnsi="Segoe UI" w:cs="Segoe UI"/>
                <w:bCs/>
                <w:sz w:val="20"/>
                <w:szCs w:val="20"/>
              </w:rPr>
              <w:t>Developing attention training to be delivered as INSET.</w:t>
            </w:r>
          </w:p>
          <w:p w14:paraId="55DB699F" w14:textId="77777777" w:rsidR="00454D15" w:rsidRPr="00542F34" w:rsidRDefault="00454D15" w:rsidP="00454D15">
            <w:pPr>
              <w:pStyle w:val="ListParagraph"/>
              <w:numPr>
                <w:ilvl w:val="0"/>
                <w:numId w:val="5"/>
              </w:numPr>
              <w:rPr>
                <w:rFonts w:ascii="Segoe UI" w:hAnsi="Segoe UI" w:cs="Segoe UI"/>
                <w:bCs/>
                <w:sz w:val="20"/>
                <w:szCs w:val="20"/>
              </w:rPr>
            </w:pPr>
            <w:r w:rsidRPr="00542F34">
              <w:rPr>
                <w:rFonts w:ascii="Segoe UI" w:hAnsi="Segoe UI" w:cs="Segoe UI"/>
                <w:bCs/>
                <w:sz w:val="20"/>
                <w:szCs w:val="20"/>
              </w:rPr>
              <w:t>Deliver Attention Autism to children that demonstrate attention barriers to access, as adaptive provision to support their needs and development.</w:t>
            </w:r>
          </w:p>
          <w:p w14:paraId="5D6FCABB" w14:textId="77777777" w:rsidR="00454D15" w:rsidRPr="00542F34" w:rsidRDefault="00454D15" w:rsidP="00454D15">
            <w:pPr>
              <w:pStyle w:val="ListParagraph"/>
              <w:numPr>
                <w:ilvl w:val="0"/>
                <w:numId w:val="5"/>
              </w:numPr>
              <w:rPr>
                <w:rFonts w:ascii="Segoe UI" w:hAnsi="Segoe UI" w:cs="Segoe UI"/>
                <w:bCs/>
                <w:sz w:val="20"/>
                <w:szCs w:val="20"/>
              </w:rPr>
            </w:pPr>
            <w:r w:rsidRPr="00542F34">
              <w:rPr>
                <w:rFonts w:ascii="Segoe UI" w:hAnsi="Segoe UI" w:cs="Segoe UI"/>
                <w:bCs/>
                <w:sz w:val="20"/>
                <w:szCs w:val="20"/>
              </w:rPr>
              <w:t>SLT meet to review planning systems to enable the effective support of the wide ranging needs.</w:t>
            </w:r>
          </w:p>
          <w:p w14:paraId="24C15D33" w14:textId="77777777" w:rsidR="00454D15" w:rsidRPr="00542F34" w:rsidRDefault="00454D15" w:rsidP="00454D15">
            <w:pPr>
              <w:pStyle w:val="ListParagraph"/>
              <w:numPr>
                <w:ilvl w:val="0"/>
                <w:numId w:val="5"/>
              </w:numPr>
              <w:rPr>
                <w:rFonts w:ascii="Segoe UI" w:hAnsi="Segoe UI" w:cs="Segoe UI"/>
                <w:bCs/>
                <w:sz w:val="20"/>
                <w:szCs w:val="20"/>
              </w:rPr>
            </w:pPr>
            <w:r w:rsidRPr="00542F34">
              <w:rPr>
                <w:rFonts w:ascii="Segoe UI" w:hAnsi="Segoe UI" w:cs="Segoe UI"/>
                <w:bCs/>
                <w:sz w:val="20"/>
                <w:szCs w:val="20"/>
              </w:rPr>
              <w:t>SLT to meet to review staffing plans to enable effective delivery of adaptive practice to the wide ranging needs.</w:t>
            </w:r>
          </w:p>
          <w:p w14:paraId="3B0E4ABB" w14:textId="29212B45" w:rsidR="00454D15" w:rsidRPr="00542F34" w:rsidRDefault="00454D15" w:rsidP="00454D15">
            <w:pPr>
              <w:pStyle w:val="ListParagraph"/>
              <w:numPr>
                <w:ilvl w:val="0"/>
                <w:numId w:val="5"/>
              </w:numPr>
              <w:rPr>
                <w:b/>
              </w:rPr>
            </w:pPr>
            <w:r w:rsidRPr="00542F34">
              <w:rPr>
                <w:rFonts w:ascii="Segoe UI" w:hAnsi="Segoe UI" w:cs="Segoe UI"/>
                <w:bCs/>
                <w:sz w:val="20"/>
                <w:szCs w:val="20"/>
              </w:rPr>
              <w:t>Half termly SENCO supervisions with specialist teacher/HT</w:t>
            </w:r>
          </w:p>
        </w:tc>
        <w:tc>
          <w:tcPr>
            <w:tcW w:w="1928" w:type="dxa"/>
          </w:tcPr>
          <w:p w14:paraId="2E55B0FD" w14:textId="0A6D3E69" w:rsidR="00454D15" w:rsidRPr="00542F34" w:rsidRDefault="00454D15" w:rsidP="00454D15">
            <w:pPr>
              <w:jc w:val="center"/>
            </w:pPr>
            <w:r w:rsidRPr="00542F34">
              <w:t>Claire Thompson/Debbie</w:t>
            </w:r>
          </w:p>
        </w:tc>
        <w:tc>
          <w:tcPr>
            <w:tcW w:w="1174" w:type="dxa"/>
          </w:tcPr>
          <w:p w14:paraId="2873B793" w14:textId="202BD0FD" w:rsidR="00454D15" w:rsidRPr="00542F34" w:rsidRDefault="00454D15" w:rsidP="00454D15">
            <w:pPr>
              <w:jc w:val="both"/>
            </w:pPr>
            <w:r w:rsidRPr="00542F34">
              <w:t>£1600</w:t>
            </w:r>
          </w:p>
        </w:tc>
        <w:tc>
          <w:tcPr>
            <w:tcW w:w="2042" w:type="dxa"/>
          </w:tcPr>
          <w:p w14:paraId="7A5637D3" w14:textId="321DAF46" w:rsidR="00454D15" w:rsidRPr="00542F34" w:rsidRDefault="00454D15" w:rsidP="00454D15">
            <w:r w:rsidRPr="00542F34">
              <w:t>Specialist led provision in place.</w:t>
            </w:r>
          </w:p>
        </w:tc>
      </w:tr>
    </w:tbl>
    <w:p w14:paraId="53DFFFBC" w14:textId="7A2BAD56" w:rsidR="00B50694" w:rsidRPr="009E3B51" w:rsidRDefault="00993F46" w:rsidP="0007336A">
      <w:pPr>
        <w:jc w:val="both"/>
        <w:rPr>
          <w:b/>
        </w:rPr>
      </w:pPr>
      <w:r w:rsidRPr="00542F34">
        <w:rPr>
          <w:b/>
        </w:rPr>
        <w:t xml:space="preserve">Review Date: </w:t>
      </w:r>
      <w:r w:rsidR="00BF3BF0" w:rsidRPr="00542F34">
        <w:rPr>
          <w:b/>
        </w:rPr>
        <w:t>November 26</w:t>
      </w:r>
    </w:p>
    <w:sectPr w:rsidR="00B50694" w:rsidRPr="009E3B51" w:rsidSect="0024164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621D2"/>
    <w:multiLevelType w:val="hybridMultilevel"/>
    <w:tmpl w:val="98BA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5311C"/>
    <w:multiLevelType w:val="hybridMultilevel"/>
    <w:tmpl w:val="6FDA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408DD"/>
    <w:multiLevelType w:val="hybridMultilevel"/>
    <w:tmpl w:val="81F06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9C6B2B"/>
    <w:multiLevelType w:val="hybridMultilevel"/>
    <w:tmpl w:val="2E1C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17405"/>
    <w:multiLevelType w:val="hybridMultilevel"/>
    <w:tmpl w:val="665C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D4"/>
    <w:rsid w:val="0007336A"/>
    <w:rsid w:val="00104B8B"/>
    <w:rsid w:val="001275B6"/>
    <w:rsid w:val="00127DD4"/>
    <w:rsid w:val="0014103B"/>
    <w:rsid w:val="001A2A25"/>
    <w:rsid w:val="001E301C"/>
    <w:rsid w:val="00241641"/>
    <w:rsid w:val="002418F6"/>
    <w:rsid w:val="002C4570"/>
    <w:rsid w:val="003439A8"/>
    <w:rsid w:val="003D745D"/>
    <w:rsid w:val="003F1FD1"/>
    <w:rsid w:val="003F6A09"/>
    <w:rsid w:val="00454D15"/>
    <w:rsid w:val="0046105B"/>
    <w:rsid w:val="004D6D79"/>
    <w:rsid w:val="00542F34"/>
    <w:rsid w:val="00592398"/>
    <w:rsid w:val="005A175F"/>
    <w:rsid w:val="005D28AD"/>
    <w:rsid w:val="005E3E86"/>
    <w:rsid w:val="00801EFF"/>
    <w:rsid w:val="0088432E"/>
    <w:rsid w:val="008F15FE"/>
    <w:rsid w:val="00961555"/>
    <w:rsid w:val="00993F46"/>
    <w:rsid w:val="009E3B51"/>
    <w:rsid w:val="00A618E3"/>
    <w:rsid w:val="00A65A46"/>
    <w:rsid w:val="00B1271C"/>
    <w:rsid w:val="00B50694"/>
    <w:rsid w:val="00B60496"/>
    <w:rsid w:val="00BA02B7"/>
    <w:rsid w:val="00BF3BF0"/>
    <w:rsid w:val="00C171F6"/>
    <w:rsid w:val="00CC7EEA"/>
    <w:rsid w:val="00D100F6"/>
    <w:rsid w:val="00D5129E"/>
    <w:rsid w:val="00D71C5F"/>
    <w:rsid w:val="00EA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5ED4"/>
  <w15:docId w15:val="{2EE0D2A1-904B-471F-ABE7-839ED9B1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36A"/>
    <w:rPr>
      <w:rFonts w:ascii="Tahoma" w:hAnsi="Tahoma" w:cs="Tahoma"/>
      <w:sz w:val="16"/>
      <w:szCs w:val="16"/>
    </w:rPr>
  </w:style>
  <w:style w:type="table" w:styleId="TableGrid">
    <w:name w:val="Table Grid"/>
    <w:basedOn w:val="TableNormal"/>
    <w:uiPriority w:val="59"/>
    <w:rsid w:val="009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32E"/>
    <w:pPr>
      <w:ind w:left="720"/>
      <w:contextualSpacing/>
    </w:pPr>
  </w:style>
  <w:style w:type="paragraph" w:styleId="Footer">
    <w:name w:val="footer"/>
    <w:basedOn w:val="Normal"/>
    <w:link w:val="FooterChar"/>
    <w:uiPriority w:val="99"/>
    <w:unhideWhenUsed/>
    <w:rsid w:val="00454D15"/>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454D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Worthington</dc:creator>
  <cp:lastModifiedBy>Carol Carpenter</cp:lastModifiedBy>
  <cp:revision>5</cp:revision>
  <cp:lastPrinted>2024-10-17T11:30:00Z</cp:lastPrinted>
  <dcterms:created xsi:type="dcterms:W3CDTF">2025-11-12T11:20:00Z</dcterms:created>
  <dcterms:modified xsi:type="dcterms:W3CDTF">2025-11-27T09:02:00Z</dcterms:modified>
</cp:coreProperties>
</file>